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9DF77" w14:textId="708C8EE4" w:rsidR="009A49F6" w:rsidRDefault="00532071" w:rsidP="00532071">
      <w:p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5B52BAF6" wp14:editId="56E8585B">
            <wp:extent cx="6172200" cy="8481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902" cy="848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E510" w14:textId="77777777" w:rsidR="00532071" w:rsidRDefault="00532071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87B656D" w14:textId="287395CF" w:rsidR="009A49F6" w:rsidRDefault="00532071">
      <w:pPr>
        <w:suppressAutoHyphens/>
        <w:spacing w:after="200" w:line="276" w:lineRule="auto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14:paraId="2E1468E8" w14:textId="77777777" w:rsidR="009A49F6" w:rsidRDefault="00532071">
      <w:pPr>
        <w:suppressAutoHyphens/>
        <w:spacing w:line="264" w:lineRule="auto"/>
        <w:ind w:firstLineChars="50" w:firstLine="14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8DE4C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раскрывает цели образования, развити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елем вариативной составляющей содержания образования по иностранному (английскому) языку.</w:t>
      </w:r>
    </w:p>
    <w:p w14:paraId="1702ADA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173D2B4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 содержании речи.</w:t>
      </w:r>
    </w:p>
    <w:p w14:paraId="5CA8904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35114F3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Образовательные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начального общего образования включают:</w:t>
      </w:r>
    </w:p>
    <w:p w14:paraId="0F0C7DEE" w14:textId="77777777" w:rsidR="009A49F6" w:rsidRDefault="00532071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письменной (чтение и письмо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форме с учётом возрастных возможностей и потребностей обучающегося;</w:t>
      </w:r>
    </w:p>
    <w:p w14:paraId="613AABA7" w14:textId="77777777" w:rsidR="009A49F6" w:rsidRDefault="00532071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ыми темами общения;</w:t>
      </w:r>
    </w:p>
    <w:p w14:paraId="1ED106A0" w14:textId="77777777" w:rsidR="009A49F6" w:rsidRDefault="00532071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2D3434A" w14:textId="77777777" w:rsidR="009A49F6" w:rsidRDefault="00532071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181A25D7" w14:textId="77777777" w:rsidR="009A49F6" w:rsidRDefault="00532071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505EC3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Развивающие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включают:</w:t>
      </w:r>
    </w:p>
    <w:p w14:paraId="36B22A17" w14:textId="77777777" w:rsidR="009A49F6" w:rsidRDefault="00532071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нания мира и культуры других народов;</w:t>
      </w:r>
    </w:p>
    <w:p w14:paraId="2B583003" w14:textId="77777777" w:rsidR="009A49F6" w:rsidRDefault="00532071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коммуникативной культуры обучающихся и их общего речевого развития;</w:t>
      </w:r>
    </w:p>
    <w:p w14:paraId="317636FC" w14:textId="77777777" w:rsidR="009A49F6" w:rsidRDefault="00532071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едств;</w:t>
      </w:r>
    </w:p>
    <w:p w14:paraId="1491088B" w14:textId="77777777" w:rsidR="009A49F6" w:rsidRDefault="00532071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42FB3A96" w14:textId="77777777" w:rsidR="009A49F6" w:rsidRDefault="00532071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06E43D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Влияние параллельного изучения родного языка и языка других стран и народов позволяет заложить основу для форми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общечеловеческих и базовых национальных ценностей.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Изучение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иностранного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обеспечивает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5AF99247" w14:textId="77777777" w:rsidR="009A49F6" w:rsidRDefault="00532071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3B46C65E" w14:textId="77777777" w:rsidR="009A49F6" w:rsidRDefault="00532071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предпосыло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ьзуя имеющиеся речевые и неречевые средства общения;</w:t>
      </w:r>
    </w:p>
    <w:p w14:paraId="7D42BB9B" w14:textId="77777777" w:rsidR="009A49F6" w:rsidRDefault="00532071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A7B9FC0" w14:textId="77777777" w:rsidR="009A49F6" w:rsidRDefault="00532071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эмоционального и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знавательного интереса к художественной культуре других народов;</w:t>
      </w:r>
    </w:p>
    <w:p w14:paraId="259C9DBD" w14:textId="77777777" w:rsidR="009A49F6" w:rsidRDefault="00532071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56A270B" w14:textId="77777777" w:rsidR="009A49F6" w:rsidRDefault="00532071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‌На изучение иностранного (английского) языка на уровне начального общего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образования отводится 204 часа: во 2 классе – 68 часов (2 часа в неделю)</w:t>
      </w:r>
    </w:p>
    <w:p w14:paraId="11AEE33E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04DC723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775D810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15A8504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2D91607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43A6502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815C49E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30BE945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95C04F5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СОДЕРЖАНИЕ ОБУЧЕНИЯ</w:t>
      </w:r>
    </w:p>
    <w:p w14:paraId="4E020BF1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F5C5D9C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2 КЛАСС</w:t>
      </w:r>
    </w:p>
    <w:p w14:paraId="40E460E0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245AFAE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Тематическое содержание речи</w:t>
      </w:r>
    </w:p>
    <w:p w14:paraId="0C3AC4E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моего «я»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Приветствие. Знакомство. Моя семья. Мой день рождения. Моя любимая еда.</w:t>
      </w:r>
    </w:p>
    <w:p w14:paraId="049ACA2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моих увлечений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. Любимый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цвет, игрушка. Любимые занятия. Мой питомец. Выходной день.</w:t>
      </w:r>
    </w:p>
    <w:p w14:paraId="7B1ED138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вокруг меня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Моя школа. Мои друзья. Моя малая родина (город, село).</w:t>
      </w:r>
    </w:p>
    <w:p w14:paraId="7C2914E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Родная страна и страны изучаемого языка.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Названия родной страны и страны/стран изучаемого языка; их столиц. Произведения дет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1F9DF4B2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F27BE41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6D32CCD9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6489295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2C429E0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Ведение с опорой на речевые ситуации, ключевы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слова и (или) иллюстрации с соблюдением норм речевого этикета, принятых в стране/странах изучаемого языка:</w:t>
      </w:r>
    </w:p>
    <w:p w14:paraId="7440A00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ости за поздравление; извинение;</w:t>
      </w:r>
    </w:p>
    <w:p w14:paraId="27E7BD5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DAFCE6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2B44312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с опорой на ключевые слова, вопросы и (или) иллю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2AB67F4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720DBD3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на слух речи учителя и других обучающихся и вербальная/невербальная реакция на услышанн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ое (при непосредственном общении).</w:t>
      </w:r>
    </w:p>
    <w:p w14:paraId="33AD3D18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(при опосредованном общении).</w:t>
      </w:r>
    </w:p>
    <w:p w14:paraId="29EB8A3B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1CB49CB4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C65FE2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диалог, высказывания собеседников в ситуациях повседневного общения, рассказ, сказка.</w:t>
      </w:r>
    </w:p>
    <w:p w14:paraId="0179DAA1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5A51085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прочитанного.</w:t>
      </w:r>
    </w:p>
    <w:p w14:paraId="7B45726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диалог, рассказ, сказка.</w:t>
      </w:r>
    </w:p>
    <w:p w14:paraId="654CE83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иманием основного содержания, с пониманием запрашиваемой информации.</w:t>
      </w:r>
    </w:p>
    <w:p w14:paraId="0D315FC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догадки.</w:t>
      </w:r>
    </w:p>
    <w:p w14:paraId="2BB37ED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7BC41C8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чтения про себя: диалог,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рассказ, сказка, электронное сообщение личного характера.</w:t>
      </w:r>
    </w:p>
    <w:p w14:paraId="628B698B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</w:t>
      </w:r>
    </w:p>
    <w:p w14:paraId="0EA387B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техникой письма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полупечатное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написание букв, буквосочетаний, слов).</w:t>
      </w:r>
    </w:p>
    <w:p w14:paraId="785F499C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Воспроизведение речевых образцов, списывание текста; выписывание из текста слов, словосочетаний, предложений; вс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тавка пропущенных букв в слово или слов в предложение, дописывание предложений в соответствии с решаемой учебной задачей.</w:t>
      </w:r>
    </w:p>
    <w:p w14:paraId="083362E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тыми в стране/странах изучаемого языка.</w:t>
      </w:r>
    </w:p>
    <w:p w14:paraId="53830C9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79A125B6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CB4AC48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4D6260F0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73A444A4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Буквы английского алфавита. Корректное называние букв английского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алфавита.</w:t>
      </w:r>
    </w:p>
    <w:p w14:paraId="1B4FB4FB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»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52223AA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Различение на слух и адекватное, без ошибок, ведущих 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118B098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Правила чтения гласных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3D5F036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новых слов согласно основным правилам чтения английского языка.</w:t>
      </w:r>
    </w:p>
    <w:p w14:paraId="4CB410C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Знаки 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глийской транскрипции; отличие их от букв английского алфавита. Фонетически корректное озвучивание знаков транскрипции.</w:t>
      </w:r>
    </w:p>
    <w:p w14:paraId="311A4340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</w:t>
      </w:r>
    </w:p>
    <w:p w14:paraId="2E0A6E9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Графически корректное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полупечатное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написание букв английского алфавита в буквосочетаниях и словах.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авильное написание изученных слов.</w:t>
      </w:r>
    </w:p>
    <w:p w14:paraId="2C8B3FC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формах глагола-связки, вспомогательного и модально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го глаголов (например,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isn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doesn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существительных в притяжательном падеже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0D4A7800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4698286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клише), обслуживающих ситуации общения в рамках тематического содержания речи для 2 класса.</w:t>
      </w:r>
    </w:p>
    <w:p w14:paraId="05A09E7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doctor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film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с помощью языковой догадки.</w:t>
      </w:r>
    </w:p>
    <w:p w14:paraId="784C96C9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6493123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Распознавание в письменном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E8AA835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вопрос), побудительные в утвердительной форме).</w:t>
      </w:r>
    </w:p>
    <w:p w14:paraId="673A1AA4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Нераспространённые и распространённые простые предложения.</w:t>
      </w:r>
    </w:p>
    <w:p w14:paraId="42484B4B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начальным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red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ball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.).</w:t>
      </w:r>
    </w:p>
    <w:p w14:paraId="1DE206B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начальным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 + to be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Present Simple Tense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(There is a cat in the room. Is there 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 cat in the room? – Yes, there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is./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are./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No, there aren’t. How many pens are there on the table? – There are four pens.).</w:t>
      </w:r>
    </w:p>
    <w:p w14:paraId="5082AA9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простым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глагольным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сказ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уемым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(They live in the country.)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составным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именным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сказуемым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(The box is small.)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составным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глагольным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сказуемым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(I like to play with my cat. She can play the piano.).</w:t>
      </w:r>
    </w:p>
    <w:p w14:paraId="6C3FA6A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глаголом-связкой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 be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Present Simple Tense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(My father is a doctor. 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s it a red ball? – Yes, it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is./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No, it isn’t.)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7F3AAEA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краткими глагольными формами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swim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like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porridge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0716B54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Побудительные предложения в утвердительной форме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Come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please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.).</w:t>
      </w:r>
    </w:p>
    <w:p w14:paraId="17D53878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ердительных и отрицательных) и вопросительных (общий и специальный вопросы) предложениях.</w:t>
      </w:r>
    </w:p>
    <w:p w14:paraId="1D9387A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lastRenderedPageBreak/>
        <w:t>Глагольная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have got (I’ve got a cat. He’s/She’s got a cat. Have you got a cat? – Yes, I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have./</w:t>
      </w:r>
      <w:proofErr w:type="gram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No, I haven’t. What have you got?)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7788C5E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Модальный глагол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: для выражения умения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tennis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отсутствия умения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chess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для получения разрешения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out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?).</w:t>
      </w:r>
    </w:p>
    <w:p w14:paraId="1324D63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именами существительными (наиболее распространённые случаи).</w:t>
      </w:r>
    </w:p>
    <w:p w14:paraId="4F531C5F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Существительные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 множественном числе, образованные по правилу и исключения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book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books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0FB89465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Личные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местоимения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(I, you, he/she/it, we, they).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Притяжательные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местоимения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(my, your, his/her/its, our, their)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Указательные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64B82B5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Количественные числительные (1–12).</w:t>
      </w:r>
    </w:p>
    <w:p w14:paraId="5026713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Вопросительные слова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how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how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7897D37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Предлоги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(in, on, near, under).</w:t>
      </w:r>
    </w:p>
    <w:p w14:paraId="6ACCCCF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Союзы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but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однородными членами).</w:t>
      </w:r>
    </w:p>
    <w:p w14:paraId="3DC088F4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692B265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4E1A392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и использование некоторых социокультурных эле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5F73EF0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неболь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ших произведений детского фольклора страны/стран изучаемого языка (рифмовки, стихи, песенки); персонажей детских книг.</w:t>
      </w:r>
    </w:p>
    <w:p w14:paraId="3033A9C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названий родной страны и страны/стран изучаемого языка и их столиц.</w:t>
      </w:r>
    </w:p>
    <w:p w14:paraId="3FB66B9A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F663FA6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0C4A258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языковой догадки (умения понять значение незнакомого слова или новое значение знакомого слова по контексту).</w:t>
      </w:r>
    </w:p>
    <w:p w14:paraId="582B869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6F07B8E0" w14:textId="77777777" w:rsidR="009A49F6" w:rsidRDefault="009A49F6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200A23D3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17FC99B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3647F3C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00C1E48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ПРОГРАММЫ ПО ИНОСТРАННОМУ (АНГЛИЙСКОМУ) ЯЗЫКУ НА УРОВНЕ НАЧАЛЬНОГО ОБЩЕГО ОБРАЗОВАНИЯ</w:t>
      </w:r>
    </w:p>
    <w:p w14:paraId="41ED74C9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7699C96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2"/>
          <w:lang w:val="ru-RU"/>
        </w:rPr>
        <w:t>ЛИЧНОСТНЫЕ РЕЗУЛЬТАТЫ</w:t>
      </w:r>
    </w:p>
    <w:p w14:paraId="788C0C5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Личностные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достигаются в единстве учебной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ания внутренней позиции личности.</w:t>
      </w:r>
    </w:p>
    <w:p w14:paraId="5D16797F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5E81F32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1)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гражданско-патриотического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FA5B62C" w14:textId="77777777" w:rsidR="009A49F6" w:rsidRDefault="00532071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ценнос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тного отношения к своей Родине – России;</w:t>
      </w:r>
    </w:p>
    <w:p w14:paraId="26AD3630" w14:textId="77777777" w:rsidR="009A49F6" w:rsidRDefault="00532071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этнокультурной и российской гражданской идентичности;</w:t>
      </w:r>
    </w:p>
    <w:p w14:paraId="20D07596" w14:textId="77777777" w:rsidR="009A49F6" w:rsidRDefault="00532071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сопричастность к прошлому, настоящему и будущему своей страны и родного края;</w:t>
      </w:r>
    </w:p>
    <w:p w14:paraId="377B7EB6" w14:textId="77777777" w:rsidR="009A49F6" w:rsidRDefault="00532071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своему и другим народам;</w:t>
      </w:r>
    </w:p>
    <w:p w14:paraId="3AD9BB97" w14:textId="77777777" w:rsidR="009A49F6" w:rsidRDefault="00532071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первоначальные представления 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E96B302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2)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0A3EBBB4" w14:textId="77777777" w:rsidR="009A49F6" w:rsidRDefault="00532071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индивидуальности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каждого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человека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1E08D0DF" w14:textId="77777777" w:rsidR="009A49F6" w:rsidRDefault="00532071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сопереживания, уважения и доброжелательности;</w:t>
      </w:r>
    </w:p>
    <w:p w14:paraId="3DD2F3C3" w14:textId="77777777" w:rsidR="009A49F6" w:rsidRDefault="00532071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84B6662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3)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DDBADAB" w14:textId="77777777" w:rsidR="009A49F6" w:rsidRDefault="00532071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уважительное отношение и интерес к художественной культуре,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восприимчивость к разным видам искусства, традициям и творчеству своего и других народов;</w:t>
      </w:r>
    </w:p>
    <w:p w14:paraId="38049EB4" w14:textId="77777777" w:rsidR="009A49F6" w:rsidRDefault="00532071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стремление к самовыражению в разных видах художественной деятельности.</w:t>
      </w:r>
    </w:p>
    <w:p w14:paraId="52D3AB74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46487843" w14:textId="77777777" w:rsidR="009A49F6" w:rsidRDefault="00532071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C91DE2B" w14:textId="77777777" w:rsidR="009A49F6" w:rsidRDefault="00532071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бережное отношение к физическому и психическому здоровью.</w:t>
      </w:r>
    </w:p>
    <w:p w14:paraId="56BA1678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5)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98C2995" w14:textId="77777777" w:rsidR="009A49F6" w:rsidRDefault="00532071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ценности труда в жизни человека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73F13AC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6)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FC6041F" w14:textId="77777777" w:rsidR="009A49F6" w:rsidRDefault="00532071">
      <w:pPr>
        <w:numPr>
          <w:ilvl w:val="0"/>
          <w:numId w:val="9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бережное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отношение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природе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3AEE295B" w14:textId="77777777" w:rsidR="009A49F6" w:rsidRDefault="00532071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действий, приносящих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ей вред.</w:t>
      </w:r>
    </w:p>
    <w:p w14:paraId="26D0DA29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7)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D2E3B96" w14:textId="77777777" w:rsidR="009A49F6" w:rsidRDefault="00532071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первоначальные представления о научной картине мира;</w:t>
      </w:r>
    </w:p>
    <w:p w14:paraId="197F0A5B" w14:textId="77777777" w:rsidR="009A49F6" w:rsidRDefault="00532071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BCFD18C" w14:textId="77777777" w:rsidR="009A49F6" w:rsidRDefault="009A49F6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BD94A16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2DAA698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79998EEA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30F1CDC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ность.</w:t>
      </w:r>
    </w:p>
    <w:p w14:paraId="76BED577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948CBDB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154336F4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E75ED2B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628211A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объекты, устанавливать основания для сравнения, устанавливать аналогии;</w:t>
      </w:r>
    </w:p>
    <w:p w14:paraId="477D181E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объединять части объекта (объекты) по определённому признаку;</w:t>
      </w:r>
    </w:p>
    <w:p w14:paraId="3EBED02C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определять существенный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признак для классификации, классифицировать предложенные объекты;</w:t>
      </w:r>
    </w:p>
    <w:p w14:paraId="5CE664A4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AFD7574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выявлять недостаток информации для решения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учебной (практической) задачи на основе предложенного алгоритма;</w:t>
      </w:r>
    </w:p>
    <w:p w14:paraId="2636690F" w14:textId="77777777" w:rsidR="009A49F6" w:rsidRDefault="00532071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FBD1174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64F94921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определять разрыв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между реальным и желательным состоянием объекта (ситуации) на основе предложенных педагогическим работником вопросов;</w:t>
      </w:r>
    </w:p>
    <w:p w14:paraId="5E368220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DE15176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несколько вариантов решения за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дачи, выбирать наиболее подходящий (на основе предложенных критериев);</w:t>
      </w:r>
    </w:p>
    <w:p w14:paraId="1349AD5F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277271B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выво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41F4288" w14:textId="77777777" w:rsidR="009A49F6" w:rsidRDefault="00532071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580B4E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682950A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выбирать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источник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получения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информации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44494A91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5FBE6CA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достоверную и недостоверную информацию самостоятельно или на основании предложенног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педагогическим работником способа её проверки;</w:t>
      </w:r>
    </w:p>
    <w:p w14:paraId="6D976DA5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5807D47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анализирова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ть и создавать текстовую, видео, графическую, звуковую, информацию в соответствии с учебной задачей;</w:t>
      </w:r>
    </w:p>
    <w:p w14:paraId="743651C8" w14:textId="77777777" w:rsidR="009A49F6" w:rsidRDefault="00532071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78CEBE99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39689B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Коммуникативные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универсальные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учебные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</w:p>
    <w:p w14:paraId="2CC7103D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</w:p>
    <w:p w14:paraId="3899A8A3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воспринимать и формулировать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суждения, выражать эмоции в соответствии с целями и условиями общения в знакомой среде;</w:t>
      </w:r>
    </w:p>
    <w:p w14:paraId="6D167B8B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73B7421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признавать возможность существования разных точек зрения;</w:t>
      </w:r>
    </w:p>
    <w:p w14:paraId="778DDB35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корректно и арг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ументированно высказывать своё мнение;</w:t>
      </w:r>
    </w:p>
    <w:p w14:paraId="5AD45076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строить речевое высказывание в соответствии с поставленной задачей;</w:t>
      </w:r>
    </w:p>
    <w:p w14:paraId="09390E56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и письменные тексты (описание, рассуждение, повествование);</w:t>
      </w:r>
    </w:p>
    <w:p w14:paraId="3B3E0968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готовить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небольшие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публичные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выступления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2D5FC7A6" w14:textId="77777777" w:rsidR="009A49F6" w:rsidRDefault="00532071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подбирать иллюстративный матер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иал (рисунки, фото, плакаты) к тексту выступления.</w:t>
      </w:r>
    </w:p>
    <w:p w14:paraId="62CE76E2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DB1B19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5B954956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1506437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Самоорганизация:</w:t>
      </w:r>
    </w:p>
    <w:p w14:paraId="15AD95C1" w14:textId="77777777" w:rsidR="009A49F6" w:rsidRDefault="00532071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действия по решению учебной задачи для получения результата;</w:t>
      </w:r>
    </w:p>
    <w:p w14:paraId="33221666" w14:textId="77777777" w:rsidR="009A49F6" w:rsidRDefault="00532071">
      <w:pPr>
        <w:numPr>
          <w:ilvl w:val="0"/>
          <w:numId w:val="1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выстраивать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последовательность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выбранных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1F47700F" w14:textId="77777777" w:rsidR="009A49F6" w:rsidRDefault="00532071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Совместная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деятельность</w:t>
      </w:r>
      <w:proofErr w:type="spellEnd"/>
    </w:p>
    <w:p w14:paraId="1E841BE1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A88D9A9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принимать цель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64FA95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проявлять готовность руководить, выполнять поручения, подчиняться;</w:t>
      </w:r>
    </w:p>
    <w:p w14:paraId="57404AE0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ответственно выполнять свою часть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работы;</w:t>
      </w:r>
    </w:p>
    <w:p w14:paraId="6C8CFFF5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свой вклад в общий результат;</w:t>
      </w:r>
    </w:p>
    <w:p w14:paraId="46352EF2" w14:textId="77777777" w:rsidR="009A49F6" w:rsidRDefault="00532071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выполнять совместные проектные задания с опорой на предложенные образцы.</w:t>
      </w:r>
    </w:p>
    <w:p w14:paraId="2807E427" w14:textId="77777777" w:rsidR="009A49F6" w:rsidRDefault="009A49F6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9B2C4A3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D963CD5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4658FDFB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E69785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элементарном уровне в совокупности её составляющих – рече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6DB5B01B" w14:textId="77777777" w:rsidR="009A49F6" w:rsidRDefault="009A49F6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C24AFA7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 концу обучения во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2 классе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обучающийся получит следующие предметные результаты:</w:t>
      </w:r>
    </w:p>
    <w:p w14:paraId="4FDD25F4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543CBC4C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Говорение:</w:t>
      </w:r>
    </w:p>
    <w:p w14:paraId="7DDB713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вести разные виды диалогов (диалог этикетного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роны каждого собеседника);</w:t>
      </w:r>
    </w:p>
    <w:p w14:paraId="27B9B424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0B7E84F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:</w:t>
      </w:r>
    </w:p>
    <w:p w14:paraId="08E9C37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воспринимать на слух и понимать речь учителя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других обучающихся;</w:t>
      </w:r>
    </w:p>
    <w:p w14:paraId="37EFDBC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40 секунд).</w:t>
      </w:r>
    </w:p>
    <w:p w14:paraId="7AECB32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чтение:</w:t>
      </w:r>
    </w:p>
    <w:p w14:paraId="53CCD2C8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читать вслух учебные тексты объёмом до 60 слов, построенные на изученн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ом языковом материале, с соблюдением правил чтения и соответствующей интонации, демонстрируя понимание прочитанного;</w:t>
      </w:r>
    </w:p>
    <w:p w14:paraId="525CE03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7719C161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Письмо:</w:t>
      </w:r>
    </w:p>
    <w:p w14:paraId="5EAFC36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заполнять простые формуляры, сообщ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ая о себе основные сведения, в соответствии с нормами, принятыми в стране/странах изучаемого языка;</w:t>
      </w:r>
    </w:p>
    <w:p w14:paraId="5A54C0D5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564CAA0C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06579E7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речи:</w:t>
      </w:r>
    </w:p>
    <w:p w14:paraId="15E73C0F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знать бук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полупечатное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написание букв, буквосочетаний, слов);</w:t>
      </w:r>
    </w:p>
    <w:p w14:paraId="2896A72F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применять правила чтения гласных в открытом и закрытом слоге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6F646D9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читать новые слова согласно основным правилам чтения;</w:t>
      </w:r>
    </w:p>
    <w:p w14:paraId="2EC2215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 на слух и правильно произносить слова и фраз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ы/предложения с соблюдением их ритмико-интонационных особенностей.</w:t>
      </w:r>
    </w:p>
    <w:p w14:paraId="2913881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пунктуация:</w:t>
      </w:r>
    </w:p>
    <w:p w14:paraId="73C21BA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писать изученные слова;</w:t>
      </w:r>
    </w:p>
    <w:p w14:paraId="0046E42B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заполнять пропуски словами; дописывать предложения;</w:t>
      </w:r>
    </w:p>
    <w:p w14:paraId="52A7F17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расставлять знаки препинания (точка, вопросительный и воскл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4378A759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речи:</w:t>
      </w:r>
    </w:p>
    <w:p w14:paraId="59B8CA9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распознавать и употреблять в устной и письменной речи не менее 200 лексических единиц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385AD54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языковую догадку в распознавании интернациональных слов.</w:t>
      </w:r>
    </w:p>
    <w:p w14:paraId="629198E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речи:</w:t>
      </w:r>
    </w:p>
    <w:p w14:paraId="78F1FFDC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4664730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нераспространённые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распространённые простые предложения;</w:t>
      </w:r>
    </w:p>
    <w:p w14:paraId="7C49F2B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7367003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+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2AE8B0D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speaks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English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.);</w:t>
      </w:r>
    </w:p>
    <w:p w14:paraId="58E3BC42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want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dance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skat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well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.);</w:t>
      </w:r>
    </w:p>
    <w:p w14:paraId="36AA7FF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составе таких фраз, как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Dima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eight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fine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sorry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...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.?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...?;</w:t>
      </w:r>
      <w:proofErr w:type="gramEnd"/>
    </w:p>
    <w:p w14:paraId="4BFCE17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письменной речи предложения с краткими глагольными формами;</w:t>
      </w:r>
      <w:bookmarkStart w:id="0" w:name="_GoBack"/>
      <w:bookmarkEnd w:id="0"/>
    </w:p>
    <w:p w14:paraId="18DB7893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Come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please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7F9793F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нной речи настоящее простое время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004E0AA6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ve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...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you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...?);</w:t>
      </w:r>
    </w:p>
    <w:p w14:paraId="44907308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распознавать и употреблять в устной и письменной речи модальный глагол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выражения умения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ride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bike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отсутствия умения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ride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bike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.);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получения разрешения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out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?);</w:t>
      </w:r>
    </w:p>
    <w:p w14:paraId="54F1EEA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38A30FA5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множественное число существительн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ых, образованное по правилам и исключения: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pen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pens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men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73F27FB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2220AE77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A881D5B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4605B2CD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how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how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5C0C04C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near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under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ED49070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but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(при однородных членах).</w:t>
      </w:r>
    </w:p>
    <w:p w14:paraId="3F8A8648" w14:textId="77777777" w:rsidR="009A49F6" w:rsidRDefault="00532071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481E659E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отдельными социокультурными эл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B5ED78A" w14:textId="77777777" w:rsidR="009A49F6" w:rsidRDefault="00532071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знать названия родной стр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аны и страны/стран изучаемого языка и их столиц.</w:t>
      </w:r>
    </w:p>
    <w:p w14:paraId="6225562B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40064E6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F24007E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66985F3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10EDCB0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3B487C2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BFF2C4B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08E5502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28A53A88" w14:textId="7C0C0E3C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58B028A" w14:textId="5BBAA02A" w:rsidR="00532071" w:rsidRDefault="00532071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2"/>
          <w:lang w:val="ru-RU" w:eastAsia="ru-RU"/>
        </w:rPr>
        <w:lastRenderedPageBreak/>
        <w:drawing>
          <wp:inline distT="0" distB="0" distL="0" distR="0" wp14:anchorId="219F5416" wp14:editId="4D5CE083">
            <wp:extent cx="6357573" cy="8736496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385" cy="874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6C01" w14:textId="77777777" w:rsidR="009A49F6" w:rsidRDefault="009A49F6">
      <w:pP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sectPr w:rsidR="009A49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07355E"/>
    <w:rsid w:val="00532071"/>
    <w:rsid w:val="009A49F6"/>
    <w:rsid w:val="540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C9D9"/>
  <w15:docId w15:val="{5056C3B5-5ED6-45B3-BFE1-CFE5B244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2024-11-09T06:24:00Z</dcterms:created>
  <dcterms:modified xsi:type="dcterms:W3CDTF">2024-11-09T06:24:00Z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5425F5841E944AE0BAF5A885E9E955BC_11</vt:lpwstr>
  </property>
</Properties>
</file>